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0 -->
  <w:body>
    <w:p w:rsidR="00DC6FF3" w:rsidP="00DC6FF3" w14:paraId="727FE48E" w14:textId="29619289">
      <w:pPr>
        <w:bidi w:val="0"/>
        <w:spacing w:line="280" w:lineRule="exact"/>
        <w:ind w:left="4247" w:firstLine="709"/>
        <w:jc w:val="both"/>
        <w:rPr>
          <w:sz w:val="30"/>
          <w:szCs w:val="30"/>
        </w:rPr>
      </w:pPr>
      <w:bookmarkStart w:id="0" w:name="_GoBack"/>
      <w:bookmarkEnd w:id="0"/>
      <w:r>
        <w:rPr>
          <w:sz w:val="30"/>
          <w:szCs w:val="30"/>
          <w:rtl w:val="0"/>
          <w:lang w:val="en"/>
        </w:rPr>
        <w:t>APPROVED</w:t>
      </w:r>
    </w:p>
    <w:p w:rsidR="00DC6FF3" w:rsidP="00DC6FF3" w14:paraId="621E0D37" w14:textId="77777777">
      <w:pPr>
        <w:bidi w:val="0"/>
        <w:spacing w:line="280" w:lineRule="exact"/>
        <w:ind w:left="4247" w:firstLine="709"/>
        <w:jc w:val="both"/>
        <w:rPr>
          <w:sz w:val="30"/>
          <w:szCs w:val="30"/>
        </w:rPr>
      </w:pPr>
      <w:r>
        <w:rPr>
          <w:sz w:val="30"/>
          <w:szCs w:val="30"/>
          <w:rtl w:val="0"/>
          <w:lang w:val="en"/>
        </w:rPr>
        <w:t xml:space="preserve">Minutes of the Board Meeting </w:t>
      </w:r>
    </w:p>
    <w:p w:rsidR="00DC6FF3" w:rsidP="00DC6FF3" w14:paraId="7FD8554D" w14:textId="77777777">
      <w:pPr>
        <w:bidi w:val="0"/>
        <w:spacing w:line="280" w:lineRule="exact"/>
        <w:ind w:left="4247" w:firstLine="709"/>
        <w:jc w:val="both"/>
        <w:rPr>
          <w:sz w:val="30"/>
          <w:szCs w:val="30"/>
        </w:rPr>
      </w:pPr>
      <w:r w:rsidRPr="00DC6FF3">
        <w:rPr>
          <w:sz w:val="30"/>
          <w:szCs w:val="30"/>
          <w:rtl w:val="0"/>
          <w:lang w:val="en"/>
        </w:rPr>
        <w:t xml:space="preserve">of JSC 'Belarusian Universal </w:t>
      </w:r>
    </w:p>
    <w:p w:rsidR="00DC6FF3" w:rsidP="00DC6FF3" w14:paraId="21861A3C" w14:textId="294D6FD2">
      <w:pPr>
        <w:bidi w:val="0"/>
        <w:spacing w:line="280" w:lineRule="exact"/>
        <w:ind w:left="4247" w:firstLine="709"/>
        <w:jc w:val="both"/>
        <w:rPr>
          <w:sz w:val="30"/>
          <w:szCs w:val="30"/>
        </w:rPr>
      </w:pPr>
      <w:r w:rsidRPr="00DC6FF3">
        <w:rPr>
          <w:sz w:val="30"/>
          <w:szCs w:val="30"/>
          <w:rtl w:val="0"/>
          <w:lang w:val="en"/>
        </w:rPr>
        <w:t xml:space="preserve">Commodity Exchange' </w:t>
      </w:r>
    </w:p>
    <w:p w:rsidR="00DC6FF3" w:rsidP="00DC6FF3" w14:paraId="1AC7A714" w14:textId="44F70392">
      <w:pPr>
        <w:bidi w:val="0"/>
        <w:spacing w:line="280" w:lineRule="exact"/>
        <w:ind w:left="4247" w:firstLine="709"/>
        <w:jc w:val="both"/>
        <w:rPr>
          <w:sz w:val="30"/>
          <w:szCs w:val="30"/>
        </w:rPr>
      </w:pPr>
      <w:r>
        <w:rPr>
          <w:sz w:val="30"/>
          <w:szCs w:val="30"/>
          <w:rtl w:val="0"/>
          <w:lang w:val="en"/>
        </w:rPr>
        <w:t>dated 27.02.2024 No. 46</w:t>
      </w:r>
    </w:p>
    <w:p w:rsidR="00DC6FF3" w:rsidP="00DC6FF3" w14:paraId="7BD85B43" w14:textId="77777777">
      <w:pPr>
        <w:ind w:firstLine="709"/>
        <w:jc w:val="both"/>
        <w:rPr>
          <w:sz w:val="30"/>
          <w:szCs w:val="30"/>
        </w:rPr>
      </w:pPr>
    </w:p>
    <w:p w:rsidR="00DC6FF3" w:rsidP="00DC6FF3" w14:paraId="66ECBB90" w14:textId="77777777">
      <w:pPr>
        <w:bidi w:val="0"/>
        <w:spacing w:line="280" w:lineRule="exact"/>
        <w:ind w:right="5245"/>
        <w:jc w:val="both"/>
        <w:rPr>
          <w:sz w:val="30"/>
          <w:szCs w:val="30"/>
        </w:rPr>
      </w:pPr>
      <w:r>
        <w:rPr>
          <w:sz w:val="30"/>
          <w:szCs w:val="30"/>
          <w:rtl w:val="0"/>
          <w:lang w:val="en"/>
        </w:rPr>
        <w:t>REGULATIONS</w:t>
      </w:r>
    </w:p>
    <w:p w:rsidR="00DC6FF3" w:rsidRPr="00813273" w:rsidP="00DC6FF3" w14:paraId="7E51C45E" w14:textId="184EA977">
      <w:pPr>
        <w:bidi w:val="0"/>
        <w:spacing w:line="280" w:lineRule="exact"/>
        <w:ind w:right="5245"/>
        <w:jc w:val="both"/>
        <w:rPr>
          <w:sz w:val="30"/>
          <w:szCs w:val="30"/>
        </w:rPr>
      </w:pPr>
      <w:r>
        <w:rPr>
          <w:sz w:val="30"/>
          <w:szCs w:val="30"/>
          <w:rtl w:val="0"/>
          <w:lang w:val="en"/>
        </w:rPr>
        <w:t>on Accreditation of Buyers Which Are Non-Residents of the Republic of Belarus as Exchange Auction Visitors for Execution of Non-Anonymous Exchange Transactions</w:t>
      </w:r>
    </w:p>
    <w:p w:rsidR="00DC6FF3" w:rsidRPr="00813273" w:rsidP="00DC6FF3" w14:paraId="21E753CC" w14:textId="77777777">
      <w:pPr>
        <w:ind w:firstLine="709"/>
        <w:jc w:val="both"/>
        <w:rPr>
          <w:sz w:val="30"/>
          <w:szCs w:val="30"/>
        </w:rPr>
      </w:pPr>
    </w:p>
    <w:p w:rsidR="00DC6FF3" w:rsidRPr="00813273" w:rsidP="00DC6FF3" w14:paraId="42866BB0" w14:textId="42AC582C">
      <w:pPr>
        <w:bidi w:val="0"/>
        <w:ind w:firstLine="709"/>
        <w:jc w:val="both"/>
        <w:rPr>
          <w:sz w:val="30"/>
          <w:szCs w:val="30"/>
        </w:rPr>
      </w:pPr>
      <w:r w:rsidRPr="00813273">
        <w:rPr>
          <w:sz w:val="30"/>
          <w:szCs w:val="30"/>
          <w:rtl w:val="0"/>
          <w:lang w:val="en"/>
        </w:rPr>
        <w:t>1. Pursuant to paragraph 5 of the Rules of Exchange Trading at JSC 'Belarusian Universal Commodity Exchange' approved by Resolution of the Board dated 22.11.2005 No. 3 (the 'Rules'), these Regulations set out certain aspects of accreditation of buyers which are non-residents of the Republic of Belarus as exchange auction visitors for execution of non-anonymous exchange transactions at JSC 'Belarusian Universal Commodity Exchange' (the 'Exchange').</w:t>
      </w:r>
    </w:p>
    <w:p w:rsidR="00E16962" w:rsidRPr="00813273" w:rsidP="00E16962" w14:paraId="0C1E350C" w14:textId="3A4F209F">
      <w:pPr>
        <w:bidi w:val="0"/>
        <w:ind w:firstLine="709"/>
        <w:jc w:val="both"/>
        <w:rPr>
          <w:sz w:val="30"/>
          <w:szCs w:val="30"/>
        </w:rPr>
      </w:pPr>
      <w:r w:rsidRPr="00813273">
        <w:rPr>
          <w:sz w:val="30"/>
          <w:szCs w:val="30"/>
          <w:rtl w:val="0"/>
          <w:lang w:val="en"/>
        </w:rPr>
        <w:t>To become authorized to execute exchange transactions other than those listed in the first part of this paragraph, the non-resident buyer shall pass the accreditation procedure in accordance with the Rules.</w:t>
      </w:r>
    </w:p>
    <w:p w:rsidR="00DC6FF3" w:rsidRPr="00813273" w:rsidP="00DC6FF3" w14:paraId="39DE09B7" w14:textId="77777777">
      <w:pPr>
        <w:bidi w:val="0"/>
        <w:ind w:firstLine="709"/>
        <w:jc w:val="both"/>
        <w:rPr>
          <w:sz w:val="30"/>
          <w:szCs w:val="30"/>
        </w:rPr>
      </w:pPr>
      <w:r w:rsidRPr="00813273">
        <w:rPr>
          <w:sz w:val="30"/>
          <w:szCs w:val="30"/>
          <w:rtl w:val="0"/>
          <w:lang w:val="en"/>
        </w:rPr>
        <w:t>2. The following terms and definitions shall be used in these Regulations:</w:t>
      </w:r>
    </w:p>
    <w:p w:rsidR="00DC6FF3" w:rsidRPr="0008124B" w:rsidP="00DC6FF3" w14:paraId="162795F6" w14:textId="3719FDDC">
      <w:pPr>
        <w:bidi w:val="0"/>
        <w:ind w:firstLine="709"/>
        <w:jc w:val="both"/>
        <w:rPr>
          <w:sz w:val="30"/>
          <w:szCs w:val="30"/>
        </w:rPr>
      </w:pPr>
      <w:r w:rsidRPr="0008124B">
        <w:rPr>
          <w:sz w:val="30"/>
          <w:szCs w:val="30"/>
          <w:rtl w:val="0"/>
          <w:lang w:val="en"/>
        </w:rPr>
        <w:t xml:space="preserve">'seller' shall mean the exchange trading participant willing to sell the exchange commodity by executing a non-anonymous exchange transaction; </w:t>
      </w:r>
    </w:p>
    <w:p w:rsidR="00DB1D64" w:rsidRPr="0008124B" w:rsidP="00DC6FF3" w14:paraId="09A04940" w14:textId="7CA9CC35">
      <w:pPr>
        <w:bidi w:val="0"/>
        <w:ind w:firstLine="709"/>
        <w:jc w:val="both"/>
        <w:rPr>
          <w:sz w:val="30"/>
          <w:szCs w:val="30"/>
        </w:rPr>
      </w:pPr>
      <w:r w:rsidRPr="0008124B">
        <w:rPr>
          <w:sz w:val="30"/>
          <w:szCs w:val="30"/>
          <w:rtl w:val="0"/>
          <w:lang w:val="en"/>
        </w:rPr>
        <w:t>'non-resident buyer' shall mean any foreign or international entity, including any entity which is not a legal entity, or individual willing to buy the exchange commodity by executing a non-anonymous exchange transaction.</w:t>
      </w:r>
    </w:p>
    <w:p w:rsidR="00DC6FF3" w:rsidRPr="0008124B" w:rsidP="00DC6FF3" w14:paraId="23F936BC" w14:textId="7CC9A43D">
      <w:pPr>
        <w:bidi w:val="0"/>
        <w:ind w:firstLine="709"/>
        <w:jc w:val="both"/>
        <w:rPr>
          <w:sz w:val="30"/>
          <w:szCs w:val="30"/>
        </w:rPr>
      </w:pPr>
      <w:r w:rsidRPr="0008124B">
        <w:rPr>
          <w:sz w:val="30"/>
          <w:szCs w:val="30"/>
          <w:rtl w:val="0"/>
          <w:lang w:val="en"/>
        </w:rPr>
        <w:t>The other terms used in these Regulations shall have the meanings assigned to them by the Rules.</w:t>
      </w:r>
    </w:p>
    <w:p w:rsidR="003F634C" w:rsidRPr="0008124B" w:rsidP="003F634C" w14:paraId="2C2A8D2A" w14:textId="6A0D6451">
      <w:pPr>
        <w:bidi w:val="0"/>
        <w:ind w:firstLine="709"/>
        <w:jc w:val="both"/>
        <w:rPr>
          <w:sz w:val="30"/>
          <w:szCs w:val="30"/>
        </w:rPr>
      </w:pPr>
      <w:r w:rsidRPr="0008124B">
        <w:rPr>
          <w:sz w:val="30"/>
          <w:szCs w:val="30"/>
          <w:rtl w:val="0"/>
          <w:lang w:val="en"/>
        </w:rPr>
        <w:t>3. Accreditation of non-resident buyers as auction visitors for execution of non-anonymous exchange transactions shall be performed by execution, by and between the Exchange and any non-resident buyer, of an exchange services contract drawn in the form presented in Attachment 1 to these Regulations.</w:t>
      </w:r>
    </w:p>
    <w:p w:rsidR="00FE1964" w:rsidRPr="00746CE2" w:rsidP="00FE1964" w14:paraId="2C62D44B" w14:textId="20BEAEB8">
      <w:pPr>
        <w:bidi w:val="0"/>
        <w:ind w:firstLine="709"/>
        <w:jc w:val="both"/>
        <w:rPr>
          <w:spacing w:val="-2"/>
          <w:sz w:val="30"/>
          <w:szCs w:val="30"/>
        </w:rPr>
      </w:pPr>
      <w:r w:rsidRPr="0008124B">
        <w:rPr>
          <w:sz w:val="30"/>
          <w:szCs w:val="30"/>
          <w:rtl w:val="0"/>
          <w:lang w:val="en"/>
        </w:rPr>
        <w:t xml:space="preserve">4. The exchange services contract shall be an accession contract, and the terms and conditions of such contract may be accepted by the non-resident buyer only by acceding to such contract in its entirety. The form of the exchange services contract shall be published on the Exchange website at the following address: </w:t>
      </w:r>
      <w:hyperlink r:id="rId4" w:history="1">
        <w:r w:rsidRPr="00746CE2" w:rsidR="007E50F7">
          <w:rPr>
            <w:rStyle w:val="Hyperlink"/>
            <w:spacing w:val="-2"/>
            <w:sz w:val="30"/>
            <w:szCs w:val="30"/>
            <w:rtl w:val="0"/>
            <w:lang w:val="en"/>
          </w:rPr>
          <w:t>https://www.butb.by/ecp/elektronnaya-tsifrovaya-podpis/poluchit-prodlit-epts-dlya-uchastiya-v-birzhevoy-torgovle/accreditation/</w:t>
        </w:r>
      </w:hyperlink>
      <w:r w:rsidRPr="0008124B">
        <w:rPr>
          <w:sz w:val="30"/>
          <w:szCs w:val="30"/>
          <w:rtl w:val="0"/>
          <w:lang w:val="en"/>
        </w:rPr>
        <w:t>.</w:t>
      </w:r>
    </w:p>
    <w:p w:rsidR="00B537D5" w:rsidRPr="0008124B" w:rsidP="00DC6FF3" w14:paraId="77FFBEC4" w14:textId="478EF4A7">
      <w:pPr>
        <w:bidi w:val="0"/>
        <w:ind w:firstLine="709"/>
        <w:jc w:val="both"/>
        <w:rPr>
          <w:sz w:val="30"/>
          <w:szCs w:val="30"/>
        </w:rPr>
      </w:pPr>
      <w:r w:rsidRPr="0008124B">
        <w:rPr>
          <w:sz w:val="30"/>
          <w:szCs w:val="30"/>
          <w:rtl w:val="0"/>
          <w:lang w:val="en"/>
        </w:rPr>
        <w:t>5. The seller willing to execute the non-anonymous exchange transaction shall furnish to the Exchange the following information on the non-resident buyer:</w:t>
      </w:r>
    </w:p>
    <w:p w:rsidR="00B537D5" w:rsidRPr="0008124B" w:rsidP="00B537D5" w14:paraId="45F9F79B" w14:textId="6593BA6C">
      <w:pPr>
        <w:bidi w:val="0"/>
        <w:ind w:firstLine="709"/>
        <w:jc w:val="both"/>
        <w:rPr>
          <w:sz w:val="30"/>
          <w:szCs w:val="30"/>
        </w:rPr>
      </w:pPr>
      <w:r w:rsidRPr="0008124B">
        <w:rPr>
          <w:sz w:val="30"/>
          <w:szCs w:val="30"/>
          <w:rtl w:val="0"/>
          <w:lang w:val="en"/>
        </w:rPr>
        <w:t>name of the non-resident buyer;</w:t>
      </w:r>
    </w:p>
    <w:p w:rsidR="00E76952" w:rsidRPr="0008124B" w:rsidP="00E76952" w14:paraId="7861E371" w14:textId="77777777">
      <w:pPr>
        <w:bidi w:val="0"/>
        <w:ind w:firstLine="709"/>
        <w:jc w:val="both"/>
        <w:rPr>
          <w:sz w:val="30"/>
          <w:szCs w:val="30"/>
        </w:rPr>
      </w:pPr>
      <w:r w:rsidRPr="0008124B">
        <w:rPr>
          <w:sz w:val="30"/>
          <w:szCs w:val="30"/>
          <w:rtl w:val="0"/>
          <w:lang w:val="en"/>
        </w:rPr>
        <w:t>identification number (registration number in the trade register);</w:t>
      </w:r>
    </w:p>
    <w:p w:rsidR="00811E9B" w:rsidRPr="0008124B" w:rsidP="00B537D5" w14:paraId="3FE10942" w14:textId="0CF42D66">
      <w:pPr>
        <w:bidi w:val="0"/>
        <w:ind w:firstLine="709"/>
        <w:jc w:val="both"/>
        <w:rPr>
          <w:rStyle w:val="word-wrapper"/>
          <w:color w:val="242424"/>
          <w:sz w:val="30"/>
          <w:szCs w:val="30"/>
          <w:shd w:val="clear" w:color="auto" w:fill="FFFFFF"/>
        </w:rPr>
      </w:pPr>
      <w:r w:rsidRPr="0008124B">
        <w:rPr>
          <w:rStyle w:val="word-wrapper"/>
          <w:color w:val="242424"/>
          <w:sz w:val="30"/>
          <w:szCs w:val="30"/>
          <w:shd w:val="clear" w:color="auto" w:fill="FFFFFF"/>
          <w:rtl w:val="0"/>
          <w:lang w:val="en"/>
        </w:rPr>
        <w:t>legal address (location);</w:t>
      </w:r>
    </w:p>
    <w:p w:rsidR="00E76952" w:rsidRPr="0008124B" w:rsidP="00E76952" w14:paraId="5395DE2F" w14:textId="77777777">
      <w:pPr>
        <w:bidi w:val="0"/>
        <w:ind w:firstLine="709"/>
        <w:jc w:val="both"/>
        <w:rPr>
          <w:sz w:val="30"/>
          <w:szCs w:val="30"/>
        </w:rPr>
      </w:pPr>
      <w:r w:rsidRPr="0008124B">
        <w:rPr>
          <w:sz w:val="30"/>
          <w:szCs w:val="30"/>
          <w:rtl w:val="0"/>
          <w:lang w:val="en"/>
        </w:rPr>
        <w:t>contact details (telephone number, e-mail, website);</w:t>
      </w:r>
    </w:p>
    <w:p w:rsidR="00E76952" w:rsidRPr="0008124B" w:rsidP="00E76952" w14:paraId="180930EA" w14:textId="77777777">
      <w:pPr>
        <w:bidi w:val="0"/>
        <w:ind w:firstLine="709"/>
        <w:jc w:val="both"/>
        <w:rPr>
          <w:sz w:val="30"/>
          <w:szCs w:val="30"/>
        </w:rPr>
      </w:pPr>
      <w:r w:rsidRPr="0008124B">
        <w:rPr>
          <w:sz w:val="30"/>
          <w:szCs w:val="30"/>
          <w:rtl w:val="0"/>
          <w:lang w:val="en"/>
        </w:rPr>
        <w:t>given name, patronymic (if any), surname of the representative of the entity authorized to act on behalf of the entity;</w:t>
      </w:r>
    </w:p>
    <w:p w:rsidR="00E76952" w:rsidRPr="0008124B" w:rsidP="00E76952" w14:paraId="33A64E1C" w14:textId="77777777">
      <w:pPr>
        <w:pStyle w:val="NoSpacing"/>
        <w:bidi w:val="0"/>
        <w:ind w:firstLine="708"/>
        <w:jc w:val="both"/>
        <w:rPr>
          <w:rFonts w:ascii="Times New Roman" w:eastAsia="Times New Roman" w:hAnsi="Times New Roman"/>
          <w:sz w:val="30"/>
          <w:szCs w:val="30"/>
          <w:lang w:eastAsia="ru-RU"/>
        </w:rPr>
      </w:pPr>
      <w:r w:rsidRPr="0008124B">
        <w:rPr>
          <w:rFonts w:ascii="Times New Roman" w:eastAsia="Times New Roman" w:hAnsi="Times New Roman"/>
          <w:sz w:val="30"/>
          <w:szCs w:val="30"/>
          <w:rtl w:val="0"/>
          <w:lang w:val="en" w:eastAsia="ru-RU"/>
        </w:rPr>
        <w:t>bank details (name and location of the bank).</w:t>
      </w:r>
    </w:p>
    <w:p w:rsidR="00DC6FF3" w:rsidRPr="0008124B" w:rsidP="00DC6FF3" w14:paraId="1022810B" w14:textId="3E1DD460">
      <w:pPr>
        <w:bidi w:val="0"/>
        <w:ind w:firstLine="709"/>
        <w:jc w:val="both"/>
        <w:rPr>
          <w:sz w:val="30"/>
          <w:szCs w:val="30"/>
        </w:rPr>
      </w:pPr>
      <w:r w:rsidRPr="0008124B">
        <w:rPr>
          <w:sz w:val="30"/>
          <w:szCs w:val="30"/>
          <w:rtl w:val="0"/>
          <w:lang w:val="en"/>
        </w:rPr>
        <w:t>6. Concurrently with the provision of the information on the non-resident buyer, the seller shall send to the e-mail address of the Exchange (</w:t>
      </w:r>
      <w:hyperlink r:id="rId5" w:history="1">
        <w:r w:rsidRPr="0008124B" w:rsidR="0008124B">
          <w:rPr>
            <w:rStyle w:val="Hyperlink"/>
            <w:sz w:val="30"/>
            <w:szCs w:val="30"/>
            <w:rtl w:val="0"/>
            <w:lang w:val="en"/>
          </w:rPr>
          <w:t>acr@butb.by</w:t>
        </w:r>
      </w:hyperlink>
      <w:r w:rsidRPr="0008124B">
        <w:rPr>
          <w:sz w:val="30"/>
          <w:szCs w:val="30"/>
          <w:rtl w:val="0"/>
          <w:lang w:val="en"/>
        </w:rPr>
        <w:t>) copies (images) of the following documents:</w:t>
      </w:r>
    </w:p>
    <w:p w:rsidR="00DC6FF3" w:rsidRPr="0008124B" w:rsidP="00DC6FF3" w14:paraId="75FED92F" w14:textId="430B72EF">
      <w:pPr>
        <w:bidi w:val="0"/>
        <w:ind w:firstLine="709"/>
        <w:jc w:val="both"/>
        <w:rPr>
          <w:sz w:val="30"/>
          <w:szCs w:val="30"/>
        </w:rPr>
      </w:pPr>
      <w:r w:rsidRPr="0008124B">
        <w:rPr>
          <w:sz w:val="30"/>
          <w:szCs w:val="30"/>
          <w:rtl w:val="0"/>
          <w:lang w:val="en"/>
        </w:rPr>
        <w:t>extract from the trade register of the registration country of the non-resident buyer (other equivalent document);</w:t>
      </w:r>
    </w:p>
    <w:p w:rsidR="00DC6FF3" w:rsidRPr="0008124B" w:rsidP="00DC6FF3" w14:paraId="1B800A70" w14:textId="29451989">
      <w:pPr>
        <w:bidi w:val="0"/>
        <w:ind w:firstLine="709"/>
        <w:jc w:val="both"/>
        <w:rPr>
          <w:sz w:val="30"/>
          <w:szCs w:val="30"/>
        </w:rPr>
      </w:pPr>
      <w:r w:rsidRPr="0008124B">
        <w:rPr>
          <w:sz w:val="30"/>
          <w:szCs w:val="30"/>
          <w:rtl w:val="0"/>
          <w:lang w:val="en"/>
        </w:rPr>
        <w:t>power of attorney issued to the person authorized to sign the exchange contract on behalf of the non-resident buyer.</w:t>
      </w:r>
    </w:p>
    <w:p w:rsidR="00DC6FF3" w:rsidRPr="0008124B" w:rsidP="00DC6FF3" w14:paraId="1A1D36F8" w14:textId="0614A076">
      <w:pPr>
        <w:bidi w:val="0"/>
        <w:ind w:firstLine="709"/>
        <w:jc w:val="both"/>
        <w:rPr>
          <w:sz w:val="30"/>
          <w:szCs w:val="30"/>
        </w:rPr>
      </w:pPr>
      <w:r w:rsidRPr="0008124B">
        <w:rPr>
          <w:sz w:val="30"/>
          <w:szCs w:val="30"/>
          <w:rtl w:val="0"/>
          <w:lang w:val="en"/>
        </w:rPr>
        <w:t xml:space="preserve">If any one or more of the documents listed in the first part of this paragraph is unavailable, the Exchange and the seller shall, taking into consideration the scope of data available to the seller, take steps to procure the required information on the non-resident buyer by using any other methods available under the circumstances. </w:t>
      </w:r>
    </w:p>
    <w:p w:rsidR="00235523" w:rsidRPr="00813273" w:rsidP="00DC6FF3" w14:paraId="6B5560A9" w14:textId="2A89B3C5">
      <w:pPr>
        <w:bidi w:val="0"/>
        <w:ind w:firstLine="709"/>
        <w:jc w:val="both"/>
        <w:rPr>
          <w:sz w:val="30"/>
          <w:szCs w:val="30"/>
        </w:rPr>
      </w:pPr>
      <w:r w:rsidRPr="0008124B">
        <w:rPr>
          <w:sz w:val="30"/>
          <w:szCs w:val="30"/>
          <w:rtl w:val="0"/>
          <w:lang w:val="en"/>
        </w:rPr>
        <w:t>7. Upon receipt of the information and documents specified in paragraphs 5 and 6 of these Regulations, the Exchange shall complete the application/questionnaire of the non-resident buyer drawn in the form presented in Attachment 2 to these Regulations, and furnish the same to the non-resident buyer by sending it to the e-mail address of the non-resident buyer, or by using any other available method.</w:t>
      </w:r>
    </w:p>
    <w:p w:rsidR="00950570" w:rsidRPr="00813273" w:rsidP="00DC6FF3" w14:paraId="63422C17" w14:textId="0716256C">
      <w:pPr>
        <w:bidi w:val="0"/>
        <w:ind w:firstLine="709"/>
        <w:jc w:val="both"/>
        <w:rPr>
          <w:sz w:val="30"/>
          <w:szCs w:val="30"/>
        </w:rPr>
      </w:pPr>
      <w:r w:rsidRPr="00813273">
        <w:rPr>
          <w:sz w:val="30"/>
          <w:szCs w:val="30"/>
          <w:rtl w:val="0"/>
          <w:lang w:val="en"/>
        </w:rPr>
        <w:t>8. Upon receipt of the application/questionnaire, the non-resident buyer shall check the information entered by the Exchange, provide any missing information, sign the questionnaire, and send a signed copy (image) of the application/questionnaire to the e-mail address of the Exchange (</w:t>
      </w:r>
      <w:hyperlink r:id="rId5" w:history="1">
        <w:r w:rsidRPr="00776EB2" w:rsidR="0008124B">
          <w:rPr>
            <w:rStyle w:val="Hyperlink"/>
            <w:sz w:val="30"/>
            <w:szCs w:val="30"/>
            <w:rtl w:val="0"/>
            <w:lang w:val="en"/>
          </w:rPr>
          <w:t>acr@butb.by</w:t>
        </w:r>
      </w:hyperlink>
      <w:r w:rsidRPr="00813273">
        <w:rPr>
          <w:sz w:val="30"/>
          <w:szCs w:val="30"/>
          <w:rtl w:val="0"/>
          <w:lang w:val="en"/>
        </w:rPr>
        <w:t>).</w:t>
      </w:r>
    </w:p>
    <w:p w:rsidR="00F72103" w:rsidRPr="00813273" w:rsidP="00DC6FF3" w14:paraId="5F459248" w14:textId="322F4F8A">
      <w:pPr>
        <w:bidi w:val="0"/>
        <w:ind w:firstLine="709"/>
        <w:jc w:val="both"/>
        <w:rPr>
          <w:sz w:val="30"/>
          <w:szCs w:val="30"/>
        </w:rPr>
      </w:pPr>
      <w:r w:rsidRPr="00813273">
        <w:rPr>
          <w:sz w:val="30"/>
          <w:szCs w:val="30"/>
          <w:rtl w:val="0"/>
          <w:lang w:val="en"/>
        </w:rPr>
        <w:t>9. The non-resident buyer may instruct the seller to submit the application/questionnaire (its copy (image)), completed and signed by the non-resident buyer, to the Exchange.</w:t>
      </w:r>
    </w:p>
    <w:p w:rsidR="00F72103" w:rsidRPr="00813273" w:rsidP="00DC6FF3" w14:paraId="4C79A17D" w14:textId="6EEAB1EC">
      <w:pPr>
        <w:bidi w:val="0"/>
        <w:ind w:firstLine="709"/>
        <w:jc w:val="both"/>
        <w:rPr>
          <w:sz w:val="30"/>
          <w:szCs w:val="30"/>
        </w:rPr>
      </w:pPr>
      <w:r w:rsidRPr="00813273">
        <w:rPr>
          <w:sz w:val="30"/>
          <w:szCs w:val="30"/>
          <w:rtl w:val="0"/>
          <w:lang w:val="en"/>
        </w:rPr>
        <w:t>10. The Exchange shall check the information provided in the application/questionnaire and, in the absence of grounds for refusal as specified in paragraph 8</w:t>
      </w:r>
      <w:r w:rsidRPr="00813273">
        <w:rPr>
          <w:sz w:val="30"/>
          <w:szCs w:val="30"/>
          <w:vertAlign w:val="superscript"/>
          <w:rtl w:val="0"/>
          <w:lang w:val="en"/>
        </w:rPr>
        <w:t>1</w:t>
      </w:r>
      <w:r w:rsidRPr="00813273">
        <w:rPr>
          <w:sz w:val="30"/>
          <w:szCs w:val="30"/>
          <w:rtl w:val="0"/>
          <w:lang w:val="en"/>
        </w:rPr>
        <w:t xml:space="preserve"> of the Rules, execute the exchange services contract with the non-resident buyer.</w:t>
      </w:r>
    </w:p>
    <w:p w:rsidR="00F72103" w:rsidRPr="00813273" w:rsidP="00E16962" w14:paraId="1DEFBD11" w14:textId="3561FE7F">
      <w:pPr>
        <w:bidi w:val="0"/>
        <w:ind w:firstLine="709"/>
        <w:jc w:val="both"/>
        <w:rPr>
          <w:sz w:val="30"/>
          <w:szCs w:val="30"/>
        </w:rPr>
      </w:pPr>
      <w:r w:rsidRPr="0008124B">
        <w:rPr>
          <w:sz w:val="30"/>
          <w:szCs w:val="30"/>
          <w:rtl w:val="0"/>
          <w:lang w:val="en"/>
        </w:rPr>
        <w:t>The exchange services contract shall be deemed to have been executed as of the date of entry by the Exchange in the trading system of information on the non-resident buyer, with the Exchange notifying such non-resident buyer accordingly by sending an appropriate notice to the e-mail address of the latter.</w:t>
      </w:r>
    </w:p>
    <w:p w:rsidR="00F72103" w:rsidP="00DC6FF3" w14:paraId="060C73C6" w14:textId="3CB88BB1">
      <w:pPr>
        <w:bidi w:val="0"/>
        <w:ind w:firstLine="709"/>
        <w:jc w:val="both"/>
        <w:rPr>
          <w:sz w:val="30"/>
          <w:szCs w:val="30"/>
        </w:rPr>
      </w:pPr>
      <w:r w:rsidRPr="00813273">
        <w:rPr>
          <w:sz w:val="30"/>
          <w:szCs w:val="30"/>
          <w:rtl w:val="0"/>
          <w:lang w:val="en"/>
        </w:rPr>
        <w:t>11. The Exchange may approve other forms of documents to be used by the non-resident buyer to express its consent to the accession to the exchange services contract.</w:t>
      </w:r>
    </w:p>
    <w:sectPr w:rsidSect="0008124B">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3227809"/>
      <w:docPartObj>
        <w:docPartGallery w:val="Page Numbers (Top of Page)"/>
        <w:docPartUnique/>
      </w:docPartObj>
    </w:sdtPr>
    <w:sdtContent>
      <w:p w:rsidR="00E16962" w14:paraId="667B20AD" w14:textId="24530C02">
        <w:pPr>
          <w:pStyle w:val="Header"/>
          <w:jc w:val="center"/>
        </w:pPr>
        <w:r>
          <w:fldChar w:fldCharType="begin"/>
        </w:r>
        <w:r>
          <w:instrText>PAGE   \* MERGEFORMAT</w:instrText>
        </w:r>
        <w:r>
          <w:fldChar w:fldCharType="separate"/>
        </w:r>
        <w:r w:rsidR="00A96780">
          <w:rPr>
            <w:noProof/>
          </w:rPr>
          <w:t>3</w:t>
        </w:r>
        <w:r>
          <w:fldChar w:fldCharType="end"/>
        </w:r>
      </w:p>
    </w:sdtContent>
  </w:sdt>
  <w:p w:rsidR="00E16962" w14:paraId="4922D42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01"/>
    <w:rsid w:val="0004781B"/>
    <w:rsid w:val="0008124B"/>
    <w:rsid w:val="0010415C"/>
    <w:rsid w:val="001058FD"/>
    <w:rsid w:val="0019781A"/>
    <w:rsid w:val="00235523"/>
    <w:rsid w:val="00275BE8"/>
    <w:rsid w:val="002A406B"/>
    <w:rsid w:val="002D6417"/>
    <w:rsid w:val="002F7EB0"/>
    <w:rsid w:val="00326127"/>
    <w:rsid w:val="003F634C"/>
    <w:rsid w:val="004547A3"/>
    <w:rsid w:val="004728CD"/>
    <w:rsid w:val="0050648F"/>
    <w:rsid w:val="00553301"/>
    <w:rsid w:val="006A2A36"/>
    <w:rsid w:val="00746CE2"/>
    <w:rsid w:val="00776EB2"/>
    <w:rsid w:val="00783489"/>
    <w:rsid w:val="007E50F7"/>
    <w:rsid w:val="00811E9B"/>
    <w:rsid w:val="00813273"/>
    <w:rsid w:val="008379E4"/>
    <w:rsid w:val="009503EF"/>
    <w:rsid w:val="00950570"/>
    <w:rsid w:val="009E7ABE"/>
    <w:rsid w:val="00A35931"/>
    <w:rsid w:val="00A96780"/>
    <w:rsid w:val="00B537D5"/>
    <w:rsid w:val="00C602E6"/>
    <w:rsid w:val="00C965A8"/>
    <w:rsid w:val="00DB1D64"/>
    <w:rsid w:val="00DC6FF3"/>
    <w:rsid w:val="00E16962"/>
    <w:rsid w:val="00E3038E"/>
    <w:rsid w:val="00E67F1A"/>
    <w:rsid w:val="00E76952"/>
    <w:rsid w:val="00F44D49"/>
    <w:rsid w:val="00F72103"/>
    <w:rsid w:val="00FE19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7BFB58B3"/>
  <w15:chartTrackingRefBased/>
  <w15:docId w15:val="{2CA2A1E1-AE02-41CC-A8D3-3FA30AFF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FF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EB0"/>
    <w:rPr>
      <w:color w:val="0563C1" w:themeColor="hyperlink"/>
      <w:u w:val="single"/>
    </w:rPr>
  </w:style>
  <w:style w:type="character" w:customStyle="1" w:styleId="UnresolvedMention">
    <w:name w:val="Unresolved Mention"/>
    <w:basedOn w:val="DefaultParagraphFont"/>
    <w:uiPriority w:val="99"/>
    <w:semiHidden/>
    <w:unhideWhenUsed/>
    <w:rsid w:val="002F7EB0"/>
    <w:rPr>
      <w:color w:val="605E5C"/>
      <w:shd w:val="clear" w:color="auto" w:fill="E1DFDD"/>
    </w:rPr>
  </w:style>
  <w:style w:type="character" w:customStyle="1" w:styleId="word-wrapper">
    <w:name w:val="word-wrapper"/>
    <w:basedOn w:val="DefaultParagraphFont"/>
    <w:rsid w:val="00811E9B"/>
  </w:style>
  <w:style w:type="paragraph" w:styleId="Header">
    <w:name w:val="header"/>
    <w:basedOn w:val="Normal"/>
    <w:link w:val="a"/>
    <w:uiPriority w:val="99"/>
    <w:unhideWhenUsed/>
    <w:rsid w:val="00E16962"/>
    <w:pPr>
      <w:tabs>
        <w:tab w:val="center" w:pos="4677"/>
        <w:tab w:val="right" w:pos="9355"/>
      </w:tabs>
    </w:pPr>
  </w:style>
  <w:style w:type="character" w:customStyle="1" w:styleId="a">
    <w:name w:val="Верхний колонтитул Знак"/>
    <w:basedOn w:val="DefaultParagraphFont"/>
    <w:link w:val="Header"/>
    <w:uiPriority w:val="99"/>
    <w:rsid w:val="00E1696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16962"/>
    <w:pPr>
      <w:tabs>
        <w:tab w:val="center" w:pos="4677"/>
        <w:tab w:val="right" w:pos="9355"/>
      </w:tabs>
    </w:pPr>
  </w:style>
  <w:style w:type="character" w:customStyle="1" w:styleId="a0">
    <w:name w:val="Нижний колонтитул Знак"/>
    <w:basedOn w:val="DefaultParagraphFont"/>
    <w:link w:val="Footer"/>
    <w:uiPriority w:val="99"/>
    <w:rsid w:val="00E16962"/>
    <w:rPr>
      <w:rFonts w:ascii="Times New Roman" w:eastAsia="Times New Roman" w:hAnsi="Times New Roman" w:cs="Times New Roman"/>
      <w:sz w:val="24"/>
      <w:szCs w:val="24"/>
      <w:lang w:eastAsia="ru-RU"/>
    </w:rPr>
  </w:style>
  <w:style w:type="paragraph" w:styleId="NoSpacing">
    <w:name w:val="No Spacing"/>
    <w:uiPriority w:val="1"/>
    <w:qFormat/>
    <w:rsid w:val="00E76952"/>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81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utb.by/ecp/elektronnaya-tsifrovaya-podpis/poluchit-prodlit-epts-dlya-uchastiya-v-birzhevoy-torgovle/accreditation/" TargetMode="External" /><Relationship Id="rId5" Type="http://schemas.openxmlformats.org/officeDocument/2006/relationships/hyperlink" Target="mailto:acr@butb.by"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Харитонович Оксана Викторовна</dc:creator>
  <cp:lastModifiedBy>Харитонович Оксана Викторовна</cp:lastModifiedBy>
  <cp:revision>2</cp:revision>
  <dcterms:created xsi:type="dcterms:W3CDTF">2025-03-24T12:53:00Z</dcterms:created>
  <dcterms:modified xsi:type="dcterms:W3CDTF">2025-03-24T12:53:00Z</dcterms:modified>
</cp:coreProperties>
</file>